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仿宋_GB2312"/>
          <w:color w:val="000000"/>
          <w:sz w:val="32"/>
          <w:szCs w:val="32"/>
        </w:rPr>
      </w:pPr>
      <w:r>
        <w:rPr>
          <w:rFonts w:hint="eastAsia" w:ascii="黑体" w:hAnsi="黑体" w:eastAsia="黑体" w:cs="仿宋_GB2312"/>
          <w:color w:val="000000"/>
          <w:sz w:val="32"/>
          <w:szCs w:val="32"/>
        </w:rPr>
        <w:t>附件：</w:t>
      </w:r>
    </w:p>
    <w:p>
      <w:pPr>
        <w:spacing w:line="560" w:lineRule="exact"/>
        <w:jc w:val="center"/>
        <w:rPr>
          <w:rFonts w:ascii="方正小标宋简体" w:hAnsi="仿宋_GB2312" w:eastAsia="方正小标宋简体" w:cs="仿宋_GB2312"/>
          <w:color w:val="000000"/>
          <w:sz w:val="44"/>
          <w:szCs w:val="44"/>
        </w:rPr>
      </w:pPr>
      <w:r>
        <w:rPr>
          <w:rFonts w:hint="eastAsia" w:ascii="方正小标宋简体" w:hAnsi="仿宋_GB2312" w:eastAsia="方正小标宋简体" w:cs="仿宋_GB2312"/>
          <w:color w:val="000000"/>
          <w:sz w:val="44"/>
          <w:szCs w:val="44"/>
        </w:rPr>
        <w:t>各乡镇脱贫巩固民生事宜情况统计表</w:t>
      </w:r>
    </w:p>
    <w:p>
      <w:pPr>
        <w:spacing w:line="200" w:lineRule="exact"/>
        <w:jc w:val="center"/>
        <w:rPr>
          <w:rFonts w:ascii="方正小标宋简体" w:hAnsi="仿宋_GB2312" w:eastAsia="方正小标宋简体" w:cs="仿宋_GB2312"/>
          <w:color w:val="000000"/>
          <w:sz w:val="44"/>
          <w:szCs w:val="44"/>
        </w:rPr>
      </w:pPr>
    </w:p>
    <w:tbl>
      <w:tblPr>
        <w:tblStyle w:val="6"/>
        <w:tblW w:w="13789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5"/>
        <w:gridCol w:w="1440"/>
        <w:gridCol w:w="2880"/>
        <w:gridCol w:w="6300"/>
        <w:gridCol w:w="1260"/>
        <w:gridCol w:w="81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tblHeader/>
        </w:trPr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乡</w:t>
            </w:r>
            <w:r>
              <w:rPr>
                <w:rFonts w:ascii="黑体" w:hAnsi="黑体" w:eastAsia="黑体" w:cs="宋体"/>
                <w:bCs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镇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行政村</w:t>
            </w:r>
          </w:p>
        </w:tc>
        <w:tc>
          <w:tcPr>
            <w:tcW w:w="2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实施项目名称</w:t>
            </w:r>
          </w:p>
        </w:tc>
        <w:tc>
          <w:tcPr>
            <w:tcW w:w="6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实施项目内容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预算资金</w:t>
            </w:r>
            <w:r>
              <w:rPr>
                <w:rFonts w:ascii="黑体" w:hAnsi="黑体" w:eastAsia="黑体" w:cs="宋体"/>
                <w:bCs/>
                <w:color w:val="000000"/>
                <w:kern w:val="0"/>
                <w:sz w:val="24"/>
              </w:rPr>
              <w:t xml:space="preserve">   (</w:t>
            </w: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万元</w:t>
            </w:r>
            <w:r>
              <w:rPr>
                <w:rFonts w:ascii="黑体" w:hAnsi="黑体" w:eastAsia="黑体" w:cs="宋体"/>
                <w:bCs/>
                <w:color w:val="000000"/>
                <w:kern w:val="0"/>
                <w:sz w:val="24"/>
              </w:rPr>
              <w:t>)</w:t>
            </w:r>
          </w:p>
        </w:tc>
        <w:tc>
          <w:tcPr>
            <w:tcW w:w="8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0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沁河镇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琴泉村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街巷路面恢复硬化工程</w:t>
            </w:r>
          </w:p>
        </w:tc>
        <w:tc>
          <w:tcPr>
            <w:tcW w:w="6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村内大街小巷道路硬化面积：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6327.6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平方米，铺砖：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973.6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平方米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99.29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</w:trPr>
        <w:tc>
          <w:tcPr>
            <w:tcW w:w="10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沁河镇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有义村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街巷路面恢复硬化工程</w:t>
            </w:r>
          </w:p>
        </w:tc>
        <w:tc>
          <w:tcPr>
            <w:tcW w:w="6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主街道硬化面积：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6655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平米，铺设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13CM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水泥混凝土垫层及铺装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5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厘米厚中粒沥青混凝土油面，巷道硬化面积：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9058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平米浇筑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18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厘米水泥混凝土路面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233.2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</w:trPr>
        <w:tc>
          <w:tcPr>
            <w:tcW w:w="10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沁河镇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崔庄半沟村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路面铺油工程</w:t>
            </w:r>
          </w:p>
        </w:tc>
        <w:tc>
          <w:tcPr>
            <w:tcW w:w="6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路面凿毛面积：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2040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平方米，铺设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15CM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水泥混凝土面层，同时铺设厚度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5cm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中粒式沥青混凝土路面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0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郭道镇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前兴稍村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街巷路面恢复硬化工程</w:t>
            </w:r>
          </w:p>
        </w:tc>
        <w:tc>
          <w:tcPr>
            <w:tcW w:w="6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恢复街巷面积达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7500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平方米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0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郭道镇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绵上村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街巷路面恢复硬化工程</w:t>
            </w:r>
          </w:p>
        </w:tc>
        <w:tc>
          <w:tcPr>
            <w:tcW w:w="6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路面恢复总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14500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米，路面恢复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232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0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郭道镇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西阳城村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街巷路面恢复硬化工程和应急蓄水项目</w:t>
            </w:r>
          </w:p>
        </w:tc>
        <w:tc>
          <w:tcPr>
            <w:tcW w:w="6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路面恢复总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7500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米、打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85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米水井和配套设施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106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0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灵空山镇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下兴居村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五串院、窑院门前路面铺设</w:t>
            </w:r>
          </w:p>
        </w:tc>
        <w:tc>
          <w:tcPr>
            <w:tcW w:w="6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五串院、窑院门前路面砂石裸露，黄土覆盖，路面改造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6" w:hRule="atLeast"/>
        </w:trPr>
        <w:tc>
          <w:tcPr>
            <w:tcW w:w="10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灵空山镇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第一川村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公益性基础设施维修新建</w:t>
            </w:r>
          </w:p>
        </w:tc>
        <w:tc>
          <w:tcPr>
            <w:tcW w:w="6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1.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修建停车场、新增停车点</w:t>
            </w:r>
            <w:r>
              <w:rPr>
                <w:rFonts w:asci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2.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维修村委外侧围墙</w:t>
            </w:r>
            <w:r>
              <w:rPr>
                <w:rFonts w:asci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3.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排水渠清理修缮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34.6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0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王和镇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铁水沟村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进村主干道修建项目</w:t>
            </w:r>
          </w:p>
        </w:tc>
        <w:tc>
          <w:tcPr>
            <w:tcW w:w="6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计划对进村长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800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米，宽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米，厚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20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厘米主干道进行修建、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400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米街道护坡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10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王和镇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王和村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主街道环境面貌治理</w:t>
            </w:r>
          </w:p>
        </w:tc>
        <w:tc>
          <w:tcPr>
            <w:tcW w:w="6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王和村门牌搂到王和村委门口约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1600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米、王和门牌楼到交警队约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400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米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0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王陶镇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义和村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街巷硬化项目</w:t>
            </w:r>
          </w:p>
        </w:tc>
        <w:tc>
          <w:tcPr>
            <w:tcW w:w="6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街巷硬化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7000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平方米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王陶镇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黄段村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污水管网改造项目</w:t>
            </w:r>
          </w:p>
        </w:tc>
        <w:tc>
          <w:tcPr>
            <w:tcW w:w="6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总改造长度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4681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米，路面恢复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5600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平方米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168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10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王陶镇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益泽沟村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路面硬化项目</w:t>
            </w:r>
          </w:p>
        </w:tc>
        <w:tc>
          <w:tcPr>
            <w:tcW w:w="6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路面硬化项目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7000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平方米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4" w:hRule="atLeast"/>
        </w:trPr>
        <w:tc>
          <w:tcPr>
            <w:tcW w:w="10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景凤镇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琵琶园村</w:t>
            </w:r>
          </w:p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活凤村</w:t>
            </w:r>
          </w:p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景凤村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三村围挡护栏安装</w:t>
            </w:r>
          </w:p>
        </w:tc>
        <w:tc>
          <w:tcPr>
            <w:tcW w:w="6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琵琶园村涉及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11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户，需安装护栏长度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800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米，活凤村涉及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12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户，需安装护栏长度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210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米，景凤村涉及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6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户，需安装护栏长度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160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米，共涉及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29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户，需安装护栏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1170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米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25.2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景凤镇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马家峪村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路面恢复项目</w:t>
            </w:r>
          </w:p>
        </w:tc>
        <w:tc>
          <w:tcPr>
            <w:tcW w:w="6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恢复破损路面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4450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平方米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交口乡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白狐窑村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路面恢复项目</w:t>
            </w:r>
          </w:p>
        </w:tc>
        <w:tc>
          <w:tcPr>
            <w:tcW w:w="6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恢复破损路面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6080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㎡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交口乡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官军村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241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改道后裸地治理</w:t>
            </w:r>
          </w:p>
        </w:tc>
        <w:tc>
          <w:tcPr>
            <w:tcW w:w="6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硬化路面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2500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㎡，绿化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1000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㎡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0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法中乡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法中村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街巷硬化、排水渠修建修缮</w:t>
            </w:r>
          </w:p>
        </w:tc>
        <w:tc>
          <w:tcPr>
            <w:tcW w:w="6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需路面恢复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540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平方米；街巷硬化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780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平方米，需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24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万元；排水渠修建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38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万元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0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法中乡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麻坪村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街巷硬化</w:t>
            </w:r>
          </w:p>
        </w:tc>
        <w:tc>
          <w:tcPr>
            <w:tcW w:w="6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麻坪主村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200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平米街巷硬化，核桃沟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300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平米街巷硬化，新庄自来水改造路面恢复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2000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平米，雕巢岭、任家沟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600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平米街巷硬化。共计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3100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平米。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0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法中乡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上湾村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排水渠修建修复</w:t>
            </w:r>
          </w:p>
        </w:tc>
        <w:tc>
          <w:tcPr>
            <w:tcW w:w="6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鹿儿迴排水渠需加宽，其中村中水渠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80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米、巷道水渠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65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米，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6.5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万元；上湾上柏线两侧排水渠改造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250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米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中峪乡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乌木村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护村坝工程</w:t>
            </w:r>
          </w:p>
        </w:tc>
        <w:tc>
          <w:tcPr>
            <w:tcW w:w="6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修建乌木村羊窑上、前乌木、毛家庄自然村段护村坝共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520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米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75.6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10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中峪乡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西王勇村</w:t>
            </w:r>
          </w:p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spacing w:val="-6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pacing w:val="-6"/>
                <w:kern w:val="0"/>
                <w:szCs w:val="21"/>
              </w:rPr>
              <w:t>白家滩自然村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整村街巷硬化</w:t>
            </w:r>
          </w:p>
        </w:tc>
        <w:tc>
          <w:tcPr>
            <w:tcW w:w="6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白家滩自然村整村街巷硬化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3900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平米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46.8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中峪乡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上庄村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建设护村坝及路面硬化亮化项目</w:t>
            </w:r>
          </w:p>
        </w:tc>
        <w:tc>
          <w:tcPr>
            <w:tcW w:w="6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建设护村坝及路面硬化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625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平米、路灯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10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盏、绿化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200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平米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53.5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</w:trPr>
        <w:tc>
          <w:tcPr>
            <w:tcW w:w="10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韩洪乡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定湖村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rPr>
                <w:rFonts w:ascii="宋体" w:cs="宋体"/>
                <w:color w:val="000000"/>
                <w:spacing w:val="-6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pacing w:val="-6"/>
                <w:kern w:val="0"/>
                <w:szCs w:val="21"/>
              </w:rPr>
              <w:t>街巷路面恢复及文化广场硬化</w:t>
            </w:r>
          </w:p>
        </w:tc>
        <w:tc>
          <w:tcPr>
            <w:tcW w:w="6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街巷路面需恢复硬化约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6300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平米；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</w:trPr>
        <w:tc>
          <w:tcPr>
            <w:tcW w:w="10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韩洪乡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鱼儿泉村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进村道路及文化广场进行恢复硬化</w:t>
            </w:r>
          </w:p>
        </w:tc>
        <w:tc>
          <w:tcPr>
            <w:tcW w:w="6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街巷路面需恢复硬化约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5100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平米；文化广场需硬化约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800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平米。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70.8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赤石桥乡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箭杆村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路面恢复项目</w:t>
            </w:r>
          </w:p>
        </w:tc>
        <w:tc>
          <w:tcPr>
            <w:tcW w:w="6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需修复路面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4860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平方米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赤石桥乡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涧崖底村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路面恢复项目</w:t>
            </w:r>
          </w:p>
        </w:tc>
        <w:tc>
          <w:tcPr>
            <w:tcW w:w="6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需修复路面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6500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平方米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0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赤石桥乡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倪庄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街巷硬化项目</w:t>
            </w:r>
          </w:p>
        </w:tc>
        <w:tc>
          <w:tcPr>
            <w:tcW w:w="6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街巷硬化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3000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平方米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赤石桥乡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实会湾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街巷硬化项目</w:t>
            </w:r>
          </w:p>
        </w:tc>
        <w:tc>
          <w:tcPr>
            <w:tcW w:w="6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街巷硬化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4200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平方米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10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聪子峪乡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土岭底村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化粪池改扩建项目</w:t>
            </w:r>
          </w:p>
        </w:tc>
        <w:tc>
          <w:tcPr>
            <w:tcW w:w="6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改扩建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11*6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米，高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4.5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米，容积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200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立方米的化粪池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聪子峪乡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聪子峪村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王家沟饮水安全工程</w:t>
            </w:r>
          </w:p>
        </w:tc>
        <w:tc>
          <w:tcPr>
            <w:tcW w:w="6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铺设管道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800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米，对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千米输水管道进行维修，水塔作防水盖顶</w:t>
            </w:r>
          </w:p>
        </w:tc>
        <w:tc>
          <w:tcPr>
            <w:tcW w:w="126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99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聪子峪乡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聪子峪村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卫生所新建项目</w:t>
            </w:r>
          </w:p>
        </w:tc>
        <w:tc>
          <w:tcPr>
            <w:tcW w:w="6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新建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间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层卫生所，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150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平米</w:t>
            </w:r>
          </w:p>
        </w:tc>
        <w:tc>
          <w:tcPr>
            <w:tcW w:w="12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0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聪子峪乡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聪子峪村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电线路入地项目</w:t>
            </w:r>
          </w:p>
        </w:tc>
        <w:tc>
          <w:tcPr>
            <w:tcW w:w="6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整理并实施弱电线路入地项目，总长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1800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米</w:t>
            </w:r>
          </w:p>
        </w:tc>
        <w:tc>
          <w:tcPr>
            <w:tcW w:w="12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1715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合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计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2264.99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</w:tr>
    </w:tbl>
    <w:p>
      <w:pPr>
        <w:spacing w:line="560" w:lineRule="exact"/>
        <w:rPr>
          <w:rFonts w:ascii="仿宋_GB2312" w:hAnsi="仿宋_GB2312" w:eastAsia="仿宋_GB2312" w:cs="仿宋_GB2312"/>
          <w:color w:val="000000"/>
          <w:sz w:val="32"/>
          <w:szCs w:val="32"/>
        </w:rPr>
        <w:sectPr>
          <w:pgSz w:w="16838" w:h="11906" w:orient="landscape"/>
          <w:pgMar w:top="1531" w:right="1531" w:bottom="1531" w:left="1531" w:header="851" w:footer="992" w:gutter="0"/>
          <w:cols w:space="425" w:num="1"/>
          <w:docGrid w:type="linesAndChars" w:linePitch="312" w:charSpace="0"/>
        </w:sectPr>
      </w:pPr>
    </w:p>
    <w:p>
      <w:pPr>
        <w:spacing w:line="560" w:lineRule="exact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pStyle w:val="3"/>
        <w:spacing w:afterLines="50"/>
        <w:rPr>
          <w:color w:val="000000"/>
        </w:rPr>
      </w:pPr>
      <w:bookmarkStart w:id="0" w:name="_GoBack"/>
      <w:bookmarkEnd w:id="0"/>
    </w:p>
    <w:p>
      <w:pPr>
        <w:pStyle w:val="3"/>
        <w:rPr>
          <w:color w:val="000000"/>
        </w:rPr>
      </w:pPr>
    </w:p>
    <w:p>
      <w:pPr>
        <w:pStyle w:val="3"/>
        <w:spacing w:afterLines="50"/>
        <w:rPr>
          <w:color w:val="000000"/>
        </w:rPr>
      </w:pPr>
    </w:p>
    <w:p>
      <w:pPr>
        <w:pStyle w:val="3"/>
        <w:rPr>
          <w:color w:val="000000"/>
        </w:rPr>
      </w:pPr>
    </w:p>
    <w:p>
      <w:pPr>
        <w:pStyle w:val="3"/>
        <w:rPr>
          <w:color w:val="000000"/>
        </w:rPr>
      </w:pPr>
    </w:p>
    <w:p>
      <w:pPr>
        <w:pStyle w:val="3"/>
        <w:rPr>
          <w:color w:val="000000"/>
        </w:rPr>
      </w:pPr>
    </w:p>
    <w:p>
      <w:pPr>
        <w:pStyle w:val="3"/>
        <w:rPr>
          <w:color w:val="000000"/>
        </w:rPr>
      </w:pPr>
    </w:p>
    <w:p>
      <w:pPr>
        <w:pStyle w:val="3"/>
        <w:rPr>
          <w:color w:val="000000"/>
        </w:rPr>
      </w:pPr>
    </w:p>
    <w:p>
      <w:pPr>
        <w:pStyle w:val="3"/>
        <w:rPr>
          <w:color w:val="000000"/>
        </w:rPr>
      </w:pPr>
    </w:p>
    <w:p>
      <w:pPr>
        <w:pStyle w:val="3"/>
        <w:rPr>
          <w:color w:val="000000"/>
        </w:rPr>
      </w:pPr>
    </w:p>
    <w:p>
      <w:pPr>
        <w:pStyle w:val="3"/>
        <w:rPr>
          <w:color w:val="000000"/>
        </w:rPr>
      </w:pPr>
    </w:p>
    <w:p>
      <w:pPr>
        <w:pStyle w:val="3"/>
        <w:rPr>
          <w:color w:val="000000"/>
        </w:rPr>
      </w:pPr>
    </w:p>
    <w:p>
      <w:pPr>
        <w:pStyle w:val="3"/>
        <w:rPr>
          <w:color w:val="000000"/>
        </w:rPr>
      </w:pPr>
    </w:p>
    <w:p>
      <w:pPr>
        <w:pStyle w:val="3"/>
        <w:rPr>
          <w:color w:val="000000"/>
        </w:rPr>
      </w:pPr>
    </w:p>
    <w:p>
      <w:pPr>
        <w:pStyle w:val="3"/>
        <w:rPr>
          <w:color w:val="000000"/>
        </w:rPr>
      </w:pPr>
    </w:p>
    <w:p>
      <w:pPr>
        <w:pStyle w:val="3"/>
        <w:rPr>
          <w:color w:val="000000"/>
        </w:rPr>
      </w:pPr>
    </w:p>
    <w:p>
      <w:pPr>
        <w:pStyle w:val="3"/>
        <w:rPr>
          <w:color w:val="000000"/>
        </w:rPr>
      </w:pPr>
    </w:p>
    <w:p>
      <w:pPr>
        <w:pStyle w:val="3"/>
        <w:rPr>
          <w:color w:val="000000"/>
        </w:rPr>
      </w:pPr>
    </w:p>
    <w:p>
      <w:pPr>
        <w:pStyle w:val="3"/>
        <w:rPr>
          <w:color w:val="000000"/>
        </w:rPr>
      </w:pPr>
    </w:p>
    <w:p>
      <w:pPr>
        <w:pStyle w:val="3"/>
        <w:rPr>
          <w:color w:val="000000"/>
        </w:rPr>
      </w:pPr>
    </w:p>
    <w:p>
      <w:pPr>
        <w:pStyle w:val="3"/>
        <w:rPr>
          <w:color w:val="000000"/>
        </w:rPr>
      </w:pPr>
    </w:p>
    <w:p>
      <w:pPr>
        <w:pStyle w:val="3"/>
        <w:rPr>
          <w:color w:val="000000"/>
        </w:rPr>
      </w:pPr>
    </w:p>
    <w:p>
      <w:pPr>
        <w:pStyle w:val="3"/>
        <w:rPr>
          <w:color w:val="000000"/>
        </w:rPr>
      </w:pPr>
    </w:p>
    <w:p>
      <w:pPr>
        <w:pStyle w:val="3"/>
        <w:rPr>
          <w:color w:val="000000"/>
        </w:rPr>
      </w:pPr>
    </w:p>
    <w:p>
      <w:pPr>
        <w:pStyle w:val="3"/>
        <w:rPr>
          <w:color w:val="000000"/>
        </w:rPr>
      </w:pPr>
    </w:p>
    <w:p>
      <w:pPr>
        <w:pStyle w:val="3"/>
        <w:spacing w:after="0" w:line="240" w:lineRule="exact"/>
        <w:rPr>
          <w:color w:val="000000"/>
        </w:rPr>
      </w:pPr>
    </w:p>
    <w:p>
      <w:pPr>
        <w:pStyle w:val="3"/>
        <w:spacing w:after="0" w:line="240" w:lineRule="exact"/>
        <w:rPr>
          <w:color w:val="000000"/>
        </w:rPr>
      </w:pPr>
    </w:p>
    <w:p>
      <w:pPr>
        <w:pStyle w:val="3"/>
        <w:rPr>
          <w:color w:val="000000"/>
        </w:rPr>
      </w:pPr>
    </w:p>
    <w:p>
      <w:pPr>
        <w:pStyle w:val="3"/>
        <w:spacing w:after="0" w:line="20" w:lineRule="exact"/>
        <w:rPr>
          <w:color w:val="000000"/>
        </w:rPr>
      </w:pPr>
    </w:p>
    <w:p>
      <w:pPr>
        <w:pStyle w:val="3"/>
        <w:spacing w:after="0" w:line="20" w:lineRule="exact"/>
        <w:rPr>
          <w:color w:val="000000"/>
        </w:rPr>
      </w:pPr>
    </w:p>
    <w:p>
      <w:pPr>
        <w:pStyle w:val="3"/>
        <w:spacing w:after="0" w:line="20" w:lineRule="exact"/>
        <w:rPr>
          <w:color w:val="000000"/>
        </w:rPr>
      </w:pPr>
    </w:p>
    <w:p>
      <w:pPr>
        <w:pStyle w:val="3"/>
        <w:spacing w:after="0" w:line="20" w:lineRule="exact"/>
        <w:rPr>
          <w:color w:val="000000"/>
        </w:rPr>
      </w:pPr>
    </w:p>
    <w:p>
      <w:pPr>
        <w:pStyle w:val="3"/>
        <w:spacing w:after="0" w:line="20" w:lineRule="exact"/>
        <w:rPr>
          <w:color w:val="000000"/>
        </w:rPr>
      </w:pPr>
    </w:p>
    <w:p>
      <w:pPr>
        <w:pStyle w:val="3"/>
        <w:spacing w:after="0" w:line="20" w:lineRule="exact"/>
        <w:rPr>
          <w:color w:val="000000"/>
        </w:rPr>
      </w:pPr>
    </w:p>
    <w:p>
      <w:pPr>
        <w:pStyle w:val="3"/>
        <w:spacing w:after="0" w:line="20" w:lineRule="exact"/>
        <w:rPr>
          <w:color w:val="000000"/>
        </w:rPr>
      </w:pPr>
    </w:p>
    <w:p>
      <w:pPr>
        <w:pStyle w:val="3"/>
        <w:spacing w:after="0" w:line="20" w:lineRule="exact"/>
        <w:rPr>
          <w:color w:val="000000"/>
        </w:rPr>
      </w:pPr>
    </w:p>
    <w:p>
      <w:pPr>
        <w:pStyle w:val="3"/>
        <w:spacing w:after="0" w:line="20" w:lineRule="exact"/>
        <w:rPr>
          <w:color w:val="000000"/>
        </w:rPr>
      </w:pPr>
    </w:p>
    <w:p>
      <w:pPr>
        <w:pStyle w:val="3"/>
        <w:spacing w:after="0" w:line="20" w:lineRule="exact"/>
        <w:rPr>
          <w:color w:val="000000"/>
        </w:rPr>
      </w:pPr>
    </w:p>
    <w:tbl>
      <w:tblPr>
        <w:tblStyle w:val="6"/>
        <w:tblW w:w="0" w:type="auto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57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7" w:type="dxa"/>
            <w:tcBorders>
              <w:top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sz w:val="28"/>
                <w:szCs w:val="28"/>
              </w:rPr>
              <w:t>沁源县人民政府办公室</w:t>
            </w:r>
            <w:r>
              <w:rPr>
                <w:rFonts w:ascii="仿宋_GB2312" w:hAnsi="仿宋" w:eastAsia="仿宋_GB2312" w:cs="仿宋_GB2312"/>
                <w:color w:val="000000"/>
                <w:sz w:val="28"/>
                <w:szCs w:val="28"/>
              </w:rPr>
              <w:t xml:space="preserve">                    2023</w:t>
            </w:r>
            <w:r>
              <w:rPr>
                <w:rFonts w:hint="eastAsia" w:ascii="仿宋_GB2312" w:hAnsi="仿宋" w:eastAsia="仿宋_GB2312" w:cs="仿宋_GB2312"/>
                <w:color w:val="000000"/>
                <w:sz w:val="28"/>
                <w:szCs w:val="28"/>
              </w:rPr>
              <w:t>年</w:t>
            </w:r>
            <w:r>
              <w:rPr>
                <w:rFonts w:ascii="仿宋_GB2312" w:hAnsi="仿宋" w:eastAsia="仿宋_GB2312" w:cs="仿宋_GB2312"/>
                <w:color w:val="000000"/>
                <w:sz w:val="28"/>
                <w:szCs w:val="28"/>
              </w:rPr>
              <w:t>9</w:t>
            </w:r>
            <w:r>
              <w:rPr>
                <w:rFonts w:hint="eastAsia" w:ascii="仿宋_GB2312" w:hAnsi="仿宋" w:eastAsia="仿宋_GB2312" w:cs="仿宋_GB2312"/>
                <w:color w:val="000000"/>
                <w:sz w:val="28"/>
                <w:szCs w:val="28"/>
              </w:rPr>
              <w:t>月</w:t>
            </w:r>
            <w:r>
              <w:rPr>
                <w:rFonts w:ascii="仿宋_GB2312" w:hAnsi="仿宋" w:eastAsia="仿宋_GB2312" w:cs="仿宋_GB2312"/>
                <w:color w:val="000000"/>
                <w:sz w:val="28"/>
                <w:szCs w:val="28"/>
              </w:rPr>
              <w:t>28</w:t>
            </w:r>
            <w:r>
              <w:rPr>
                <w:rFonts w:hint="eastAsia" w:ascii="仿宋_GB2312" w:hAnsi="仿宋" w:eastAsia="仿宋_GB2312" w:cs="仿宋_GB2312"/>
                <w:color w:val="000000"/>
                <w:sz w:val="28"/>
                <w:szCs w:val="28"/>
              </w:rPr>
              <w:t>日印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发</w:t>
            </w:r>
          </w:p>
        </w:tc>
      </w:tr>
    </w:tbl>
    <w:p>
      <w:pPr>
        <w:pStyle w:val="3"/>
        <w:spacing w:line="20" w:lineRule="exact"/>
        <w:rPr>
          <w:color w:val="000000"/>
        </w:rPr>
      </w:pPr>
    </w:p>
    <w:sectPr>
      <w:pgSz w:w="11906" w:h="16838"/>
      <w:pgMar w:top="1871" w:right="1531" w:bottom="1758" w:left="1531" w:header="851" w:footer="147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2312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kxNTU2ZmZlY2MyODdmYmM5OWI3ZTNlZGEyMTY2M2MifQ=="/>
  </w:docVars>
  <w:rsids>
    <w:rsidRoot w:val="20062D66"/>
    <w:rsid w:val="00044F06"/>
    <w:rsid w:val="00093AAE"/>
    <w:rsid w:val="00145B56"/>
    <w:rsid w:val="001507E6"/>
    <w:rsid w:val="00241FD9"/>
    <w:rsid w:val="00303197"/>
    <w:rsid w:val="00384597"/>
    <w:rsid w:val="003A2B41"/>
    <w:rsid w:val="0053073B"/>
    <w:rsid w:val="005D242F"/>
    <w:rsid w:val="005D3A89"/>
    <w:rsid w:val="0063450C"/>
    <w:rsid w:val="00737849"/>
    <w:rsid w:val="007456A5"/>
    <w:rsid w:val="00841439"/>
    <w:rsid w:val="00884AF9"/>
    <w:rsid w:val="00896054"/>
    <w:rsid w:val="008F7FB3"/>
    <w:rsid w:val="009355DB"/>
    <w:rsid w:val="00935BF9"/>
    <w:rsid w:val="00976FB0"/>
    <w:rsid w:val="009922FE"/>
    <w:rsid w:val="00A16F86"/>
    <w:rsid w:val="00A47DE8"/>
    <w:rsid w:val="00A55663"/>
    <w:rsid w:val="00A724BE"/>
    <w:rsid w:val="00A93A37"/>
    <w:rsid w:val="00BA14AA"/>
    <w:rsid w:val="00C057CF"/>
    <w:rsid w:val="00D36865"/>
    <w:rsid w:val="00D75711"/>
    <w:rsid w:val="00E3746B"/>
    <w:rsid w:val="00FB4FF0"/>
    <w:rsid w:val="034F484F"/>
    <w:rsid w:val="1C3D4D38"/>
    <w:rsid w:val="20062D66"/>
    <w:rsid w:val="2AE546EF"/>
    <w:rsid w:val="32715EA5"/>
    <w:rsid w:val="428E342D"/>
    <w:rsid w:val="45824C19"/>
    <w:rsid w:val="475E44B5"/>
    <w:rsid w:val="48B97C81"/>
    <w:rsid w:val="5B880763"/>
    <w:rsid w:val="62CA6A4B"/>
    <w:rsid w:val="75561F12"/>
    <w:rsid w:val="7E020D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iPriority="9" w:name="heading 2" w:locked="1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qFormat="1" w:unhideWhenUsed="0" w:uiPriority="99" w:semiHidden="0" w:name="Normal Indent"/>
    <w:lsdException w:uiPriority="99" w:name="footnote text" w:locked="1"/>
    <w:lsdException w:uiPriority="99" w:name="annotation text" w:locked="1"/>
    <w:lsdException w:uiPriority="99" w:name="header" w:locked="1"/>
    <w:lsdException w:uiPriority="99" w:name="footer" w:locked="1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unhideWhenUsed="0" w:uiPriority="99" w:name="Default Paragraph Font"/>
    <w:lsdException w:unhideWhenUsed="0" w:uiPriority="99" w:semiHidden="0" w:name="Body Text"/>
    <w:lsdException w:unhideWhenUsed="0" w:uiPriority="99" w:semiHidden="0" w:name="Body Text Indent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unhideWhenUsed="0" w:uiPriority="99" w:semiHidden="0" w:name="Hyperlink"/>
    <w:lsdException w:uiPriority="99" w:name="FollowedHyperlink" w:locked="1"/>
    <w:lsdException w:qFormat="1" w:unhideWhenUsed="0" w:uiPriority="22" w:semiHidden="0" w:name="Strong" w:locked="1"/>
    <w:lsdException w:qFormat="1" w:unhideWhenUsed="0" w:uiPriority="20" w:semiHidden="0" w:name="Emphasis" w:locked="1"/>
    <w:lsdException w:uiPriority="99" w:name="Document Map" w:locked="1"/>
    <w:lsdException w:uiPriority="99" w:name="Plain Text" w:locked="1"/>
    <w:lsdException w:uiPriority="99" w:name="E-mail Signature" w:locked="1"/>
    <w:lsdException w:unhideWhenUsed="0" w:uiPriority="99" w:semiHidden="0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unhideWhenUsed="0" w:uiPriority="59" w:semiHidden="0" w:name="Table Grid" w:locked="1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99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99"/>
    <w:pPr>
      <w:ind w:firstLine="420" w:firstLineChars="200"/>
    </w:pPr>
  </w:style>
  <w:style w:type="paragraph" w:styleId="3">
    <w:name w:val="Body Text"/>
    <w:basedOn w:val="1"/>
    <w:link w:val="10"/>
    <w:uiPriority w:val="99"/>
    <w:pPr>
      <w:spacing w:after="120"/>
    </w:pPr>
  </w:style>
  <w:style w:type="paragraph" w:styleId="4">
    <w:name w:val="Body Text Indent"/>
    <w:basedOn w:val="1"/>
    <w:next w:val="1"/>
    <w:link w:val="9"/>
    <w:uiPriority w:val="99"/>
    <w:pPr>
      <w:ind w:left="420" w:leftChars="200"/>
    </w:pPr>
  </w:style>
  <w:style w:type="paragraph" w:styleId="5">
    <w:name w:val="Normal (Web)"/>
    <w:basedOn w:val="1"/>
    <w:uiPriority w:val="99"/>
    <w:pPr>
      <w:spacing w:beforeAutospacing="1" w:afterAutospacing="1"/>
      <w:jc w:val="left"/>
    </w:pPr>
    <w:rPr>
      <w:kern w:val="0"/>
      <w:sz w:val="24"/>
    </w:rPr>
  </w:style>
  <w:style w:type="character" w:styleId="8">
    <w:name w:val="Hyperlink"/>
    <w:basedOn w:val="7"/>
    <w:uiPriority w:val="99"/>
    <w:rPr>
      <w:rFonts w:cs="Times New Roman"/>
      <w:color w:val="0000FF"/>
      <w:u w:val="single"/>
    </w:rPr>
  </w:style>
  <w:style w:type="character" w:customStyle="1" w:styleId="9">
    <w:name w:val="Body Text Indent Char"/>
    <w:basedOn w:val="7"/>
    <w:link w:val="4"/>
    <w:semiHidden/>
    <w:locked/>
    <w:uiPriority w:val="99"/>
    <w:rPr>
      <w:rFonts w:ascii="Calibri" w:hAnsi="Calibri" w:cs="Times New Roman"/>
      <w:sz w:val="24"/>
      <w:szCs w:val="24"/>
    </w:rPr>
  </w:style>
  <w:style w:type="character" w:customStyle="1" w:styleId="10">
    <w:name w:val="Body Text Char"/>
    <w:basedOn w:val="7"/>
    <w:link w:val="3"/>
    <w:semiHidden/>
    <w:locked/>
    <w:uiPriority w:val="99"/>
    <w:rPr>
      <w:rFonts w:ascii="Calibri" w:hAnsi="Calibri" w:cs="Times New Roman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8</Pages>
  <Words>532</Words>
  <Characters>3035</Characters>
  <Lines>0</Lines>
  <Paragraphs>0</Paragraphs>
  <TotalTime>498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2023-09-11T01:35:00Z</dcterms:created>
  <dc:creator>L-R-Yu</dc:creator>
  <cp:lastModifiedBy>辉辉OPPOvivo体验店</cp:lastModifiedBy>
  <cp:lastPrinted>2023-09-14T01:01:00Z</cp:lastPrinted>
  <dcterms:modified xsi:type="dcterms:W3CDTF">2023-12-07T02:49:24Z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3F5EC5BFD5FA4DE5A04CD76724958BA4_13</vt:lpwstr>
  </property>
</Properties>
</file>