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outlineLvl w:val="0"/>
        <w:rPr>
          <w:rFonts w:hint="eastAsia" w:ascii="黑体" w:hAnsi="黑体" w:eastAsia="黑体" w:cs="黑体"/>
          <w:color w:val="auto"/>
          <w:sz w:val="32"/>
          <w:szCs w:val="32"/>
          <w:highlight w:val="none"/>
          <w:lang w:val="en-US" w:eastAsia="zh-CN"/>
        </w:rPr>
      </w:pPr>
      <w:bookmarkStart w:id="1" w:name="_GoBack"/>
      <w:bookmarkEnd w:id="1"/>
      <w:r>
        <w:rPr>
          <w:rFonts w:hint="eastAsia" w:ascii="黑体" w:hAnsi="黑体" w:eastAsia="黑体" w:cs="黑体"/>
          <w:color w:val="auto"/>
          <w:sz w:val="32"/>
          <w:szCs w:val="32"/>
          <w:highlight w:val="none"/>
          <w:lang w:eastAsia="zh-CN"/>
        </w:rPr>
        <w:t>附件</w:t>
      </w:r>
      <w:r>
        <w:rPr>
          <w:rFonts w:hint="eastAsia" w:ascii="黑体" w:hAnsi="黑体" w:eastAsia="黑体" w:cs="黑体"/>
          <w:color w:val="auto"/>
          <w:sz w:val="32"/>
          <w:szCs w:val="32"/>
          <w:highlight w:val="none"/>
          <w:lang w:val="en-US" w:eastAsia="zh-CN"/>
        </w:rPr>
        <w:t>1</w:t>
      </w:r>
      <w:bookmarkStart w:id="0" w:name="_Toc17648"/>
    </w:p>
    <w:bookmarkEnd w:id="0"/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10" w:lineRule="exact"/>
        <w:jc w:val="center"/>
        <w:textAlignment w:val="auto"/>
        <w:outlineLvl w:val="0"/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highlight w:val="none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highlight w:val="none"/>
        </w:rPr>
        <w:t>文化旅游突发事件</w:t>
      </w: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highlight w:val="none"/>
          <w:lang w:eastAsia="zh-CN"/>
        </w:rPr>
        <w:t>分级标准</w:t>
      </w: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highlight w:val="none"/>
          <w:lang w:val="en-US" w:eastAsia="zh-CN"/>
        </w:rPr>
        <w:t>及响应条件</w:t>
      </w:r>
    </w:p>
    <w:tbl>
      <w:tblPr>
        <w:tblStyle w:val="5"/>
        <w:tblW w:w="1378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04"/>
        <w:gridCol w:w="11949"/>
        <w:gridCol w:w="83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9" w:hRule="atLeast"/>
          <w:jc w:val="center"/>
        </w:trPr>
        <w:tc>
          <w:tcPr>
            <w:tcW w:w="1004" w:type="dxa"/>
            <w:noWrap w:val="0"/>
            <w:vAlign w:val="center"/>
          </w:tcPr>
          <w:p>
            <w:pPr>
              <w:pStyle w:val="8"/>
              <w:autoSpaceDE/>
              <w:autoSpaceDN/>
              <w:adjustRightInd/>
              <w:snapToGrid/>
              <w:spacing w:line="360" w:lineRule="exact"/>
              <w:ind w:firstLine="0" w:firstLineChars="0"/>
              <w:jc w:val="center"/>
              <w:rPr>
                <w:rFonts w:hint="eastAsia" w:ascii="黑体" w:hAnsi="黑体" w:eastAsia="黑体" w:cs="黑体"/>
                <w:bCs w:val="0"/>
                <w:color w:val="auto"/>
                <w:sz w:val="28"/>
                <w:szCs w:val="28"/>
                <w:highlight w:val="none"/>
              </w:rPr>
            </w:pPr>
            <w:r>
              <w:rPr>
                <w:rFonts w:hint="eastAsia" w:ascii="黑体" w:hAnsi="黑体" w:eastAsia="黑体" w:cs="黑体"/>
                <w:bCs w:val="0"/>
                <w:color w:val="auto"/>
                <w:sz w:val="28"/>
                <w:szCs w:val="28"/>
                <w:highlight w:val="none"/>
              </w:rPr>
              <w:t>级 别</w:t>
            </w:r>
          </w:p>
        </w:tc>
        <w:tc>
          <w:tcPr>
            <w:tcW w:w="11949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黑体" w:hAnsi="黑体" w:eastAsia="黑体" w:cs="黑体"/>
                <w:color w:val="auto"/>
                <w:sz w:val="28"/>
                <w:szCs w:val="28"/>
                <w:highlight w:val="none"/>
              </w:rPr>
            </w:pPr>
            <w:r>
              <w:rPr>
                <w:rFonts w:hint="eastAsia" w:ascii="黑体" w:hAnsi="黑体" w:eastAsia="黑体" w:cs="黑体"/>
                <w:color w:val="auto"/>
                <w:sz w:val="28"/>
                <w:szCs w:val="28"/>
                <w:highlight w:val="none"/>
              </w:rPr>
              <w:t xml:space="preserve">条 </w:t>
            </w:r>
            <w:r>
              <w:rPr>
                <w:rFonts w:hint="eastAsia" w:ascii="黑体" w:hAnsi="黑体" w:eastAsia="黑体" w:cs="黑体"/>
                <w:color w:val="auto"/>
                <w:sz w:val="28"/>
                <w:szCs w:val="28"/>
                <w:highlight w:val="none"/>
                <w:lang w:val="en-US" w:eastAsia="zh-CN"/>
              </w:rPr>
              <w:t xml:space="preserve">    </w:t>
            </w:r>
            <w:r>
              <w:rPr>
                <w:rFonts w:hint="eastAsia" w:ascii="黑体" w:hAnsi="黑体" w:eastAsia="黑体" w:cs="黑体"/>
                <w:color w:val="auto"/>
                <w:sz w:val="28"/>
                <w:szCs w:val="28"/>
                <w:highlight w:val="none"/>
              </w:rPr>
              <w:t>件</w:t>
            </w:r>
          </w:p>
        </w:tc>
        <w:tc>
          <w:tcPr>
            <w:tcW w:w="83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黑体" w:hAnsi="黑体" w:eastAsia="黑体" w:cs="黑体"/>
                <w:color w:val="auto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8"/>
                <w:szCs w:val="28"/>
                <w:highlight w:val="none"/>
                <w:lang w:val="en-US" w:eastAsia="zh-CN"/>
              </w:rPr>
              <w:t>等级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8" w:hRule="atLeast"/>
          <w:jc w:val="center"/>
        </w:trPr>
        <w:tc>
          <w:tcPr>
            <w:tcW w:w="1004" w:type="dxa"/>
            <w:noWrap w:val="0"/>
            <w:vAlign w:val="center"/>
          </w:tcPr>
          <w:p>
            <w:pPr>
              <w:pStyle w:val="8"/>
              <w:autoSpaceDE/>
              <w:autoSpaceDN/>
              <w:adjustRightInd/>
              <w:snapToGrid/>
              <w:spacing w:line="300" w:lineRule="exact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bCs w:val="0"/>
                <w:color w:val="auto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Cs w:val="0"/>
                <w:color w:val="auto"/>
                <w:sz w:val="28"/>
                <w:szCs w:val="28"/>
                <w:highlight w:val="none"/>
              </w:rPr>
              <w:t>一般</w:t>
            </w:r>
          </w:p>
          <w:p>
            <w:pPr>
              <w:pStyle w:val="8"/>
              <w:autoSpaceDE/>
              <w:autoSpaceDN/>
              <w:adjustRightInd/>
              <w:snapToGrid/>
              <w:spacing w:line="300" w:lineRule="exact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bCs w:val="0"/>
                <w:color w:val="auto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Cs w:val="0"/>
                <w:color w:val="auto"/>
                <w:sz w:val="28"/>
                <w:szCs w:val="28"/>
                <w:highlight w:val="none"/>
              </w:rPr>
              <w:t>突发</w:t>
            </w:r>
          </w:p>
          <w:p>
            <w:pPr>
              <w:pStyle w:val="8"/>
              <w:autoSpaceDE/>
              <w:autoSpaceDN/>
              <w:adjustRightInd/>
              <w:snapToGrid/>
              <w:spacing w:line="300" w:lineRule="exact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bCs w:val="0"/>
                <w:color w:val="auto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Cs w:val="0"/>
                <w:color w:val="auto"/>
                <w:sz w:val="28"/>
                <w:szCs w:val="28"/>
                <w:highlight w:val="none"/>
              </w:rPr>
              <w:t>事件</w:t>
            </w:r>
          </w:p>
        </w:tc>
        <w:tc>
          <w:tcPr>
            <w:tcW w:w="1194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</w:rPr>
              <w:t>（1）造成3人以下死亡（含失踪），或造成10人以下重伤，或3人以下被困的突发事件；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</w:rPr>
              <w:t>（2）形成群体性事件，一次参与人数在3人以上、50人以下，严重影响社会稳定的；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</w:rPr>
              <w:t>（3）旅游者50人以下滞留超过24小时，并对当地生产生活秩序造成严重影响的；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b/>
                <w:bCs w:val="0"/>
                <w:color w:val="auto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</w:rPr>
              <w:t>（4）其他涉及文化旅游（包括相关文物领域）的一般突发事件。</w:t>
            </w:r>
          </w:p>
        </w:tc>
        <w:tc>
          <w:tcPr>
            <w:tcW w:w="83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8"/>
                <w:szCs w:val="28"/>
                <w:highlight w:val="none"/>
                <w:lang w:val="en-US" w:eastAsia="zh-CN"/>
              </w:rPr>
              <w:t>Ⅳ级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81" w:hRule="atLeast"/>
          <w:jc w:val="center"/>
        </w:trPr>
        <w:tc>
          <w:tcPr>
            <w:tcW w:w="1004" w:type="dxa"/>
            <w:noWrap w:val="0"/>
            <w:vAlign w:val="center"/>
          </w:tcPr>
          <w:p>
            <w:pPr>
              <w:pStyle w:val="8"/>
              <w:autoSpaceDE/>
              <w:autoSpaceDN/>
              <w:adjustRightInd/>
              <w:snapToGrid/>
              <w:spacing w:line="300" w:lineRule="exact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bCs w:val="0"/>
                <w:color w:val="auto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Cs w:val="0"/>
                <w:color w:val="auto"/>
                <w:sz w:val="28"/>
                <w:szCs w:val="28"/>
                <w:highlight w:val="none"/>
              </w:rPr>
              <w:t>较大</w:t>
            </w:r>
          </w:p>
          <w:p>
            <w:pPr>
              <w:pStyle w:val="8"/>
              <w:autoSpaceDE/>
              <w:autoSpaceDN/>
              <w:adjustRightInd/>
              <w:snapToGrid/>
              <w:spacing w:line="300" w:lineRule="exact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bCs w:val="0"/>
                <w:color w:val="auto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Cs w:val="0"/>
                <w:color w:val="auto"/>
                <w:sz w:val="28"/>
                <w:szCs w:val="28"/>
                <w:highlight w:val="none"/>
              </w:rPr>
              <w:t>突发</w:t>
            </w:r>
          </w:p>
          <w:p>
            <w:pPr>
              <w:pStyle w:val="8"/>
              <w:autoSpaceDE/>
              <w:autoSpaceDN/>
              <w:adjustRightInd/>
              <w:snapToGrid/>
              <w:spacing w:line="300" w:lineRule="exact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bCs w:val="0"/>
                <w:color w:val="auto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Cs w:val="0"/>
                <w:color w:val="auto"/>
                <w:sz w:val="28"/>
                <w:szCs w:val="28"/>
                <w:highlight w:val="none"/>
              </w:rPr>
              <w:t>事件</w:t>
            </w:r>
          </w:p>
        </w:tc>
        <w:tc>
          <w:tcPr>
            <w:tcW w:w="1194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</w:rPr>
              <w:t>（1）造成3人以上、10人以下死亡（含失踪），或造成10人以上、50人以下重伤，或3人以上、10人以下被困的突发事件；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</w:rPr>
              <w:t>（2）形成群体性事件，一次参与人数达到50人以上、100人以下，严重影响社会稳定的；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</w:rPr>
              <w:t>（3）旅游者50人以上、200人以下滞留超过24小时，并对当地生产生活秩序造成严重影响的；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b/>
                <w:bCs w:val="0"/>
                <w:color w:val="auto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</w:rPr>
              <w:t>（4）其他涉及文化旅游（包括相关文物领域）的较大突发事件。</w:t>
            </w:r>
          </w:p>
        </w:tc>
        <w:tc>
          <w:tcPr>
            <w:tcW w:w="830" w:type="dxa"/>
            <w:vMerge w:val="restart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8"/>
                <w:szCs w:val="28"/>
                <w:highlight w:val="none"/>
                <w:lang w:val="en-US" w:eastAsia="zh-CN"/>
              </w:rPr>
              <w:t>Ⅲ级及以上响应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73" w:hRule="atLeast"/>
          <w:jc w:val="center"/>
        </w:trPr>
        <w:tc>
          <w:tcPr>
            <w:tcW w:w="1004" w:type="dxa"/>
            <w:noWrap w:val="0"/>
            <w:vAlign w:val="center"/>
          </w:tcPr>
          <w:p>
            <w:pPr>
              <w:pStyle w:val="8"/>
              <w:autoSpaceDE/>
              <w:autoSpaceDN/>
              <w:adjustRightInd/>
              <w:snapToGrid/>
              <w:spacing w:line="300" w:lineRule="exact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bCs w:val="0"/>
                <w:color w:val="auto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Cs w:val="0"/>
                <w:color w:val="auto"/>
                <w:sz w:val="28"/>
                <w:szCs w:val="28"/>
                <w:highlight w:val="none"/>
              </w:rPr>
              <w:t>重大</w:t>
            </w:r>
          </w:p>
          <w:p>
            <w:pPr>
              <w:pStyle w:val="8"/>
              <w:autoSpaceDE/>
              <w:autoSpaceDN/>
              <w:adjustRightInd/>
              <w:snapToGrid/>
              <w:spacing w:line="300" w:lineRule="exact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bCs w:val="0"/>
                <w:color w:val="auto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Cs w:val="0"/>
                <w:color w:val="auto"/>
                <w:sz w:val="28"/>
                <w:szCs w:val="28"/>
                <w:highlight w:val="none"/>
              </w:rPr>
              <w:t>突发</w:t>
            </w:r>
          </w:p>
          <w:p>
            <w:pPr>
              <w:pStyle w:val="8"/>
              <w:autoSpaceDE/>
              <w:autoSpaceDN/>
              <w:adjustRightInd/>
              <w:snapToGrid/>
              <w:spacing w:line="300" w:lineRule="exact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bCs w:val="0"/>
                <w:color w:val="auto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Cs w:val="0"/>
                <w:color w:val="auto"/>
                <w:sz w:val="28"/>
                <w:szCs w:val="28"/>
                <w:highlight w:val="none"/>
              </w:rPr>
              <w:t>事件</w:t>
            </w:r>
          </w:p>
        </w:tc>
        <w:tc>
          <w:tcPr>
            <w:tcW w:w="1194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</w:rPr>
              <w:t>（1）造成10人以上、30人以下死亡（含失踪），或造成50人以上、100人以下重伤，或10人以上、30人以下被困的突发事件；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</w:rPr>
              <w:t>（2）形成群体性事件，一次参与人数达到100人以上、300人以下，严重影响社会稳定的；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</w:rPr>
              <w:t>（3）旅游者200人以上、500人以下滞留超过24小时，并对当地生产生活秩序造成严重影响的；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b/>
                <w:bCs w:val="0"/>
                <w:color w:val="auto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</w:rPr>
              <w:t>（4）其他涉及文化旅游（包括相关文物领域）的重大突发事件。</w:t>
            </w:r>
          </w:p>
        </w:tc>
        <w:tc>
          <w:tcPr>
            <w:tcW w:w="830" w:type="dxa"/>
            <w:vMerge w:val="continue"/>
            <w:noWrap w:val="0"/>
            <w:vAlign w:val="top"/>
          </w:tcPr>
          <w:p>
            <w:pPr>
              <w:spacing w:line="360" w:lineRule="exact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79" w:hRule="atLeast"/>
          <w:jc w:val="center"/>
        </w:trPr>
        <w:tc>
          <w:tcPr>
            <w:tcW w:w="1004" w:type="dxa"/>
            <w:noWrap w:val="0"/>
            <w:vAlign w:val="center"/>
          </w:tcPr>
          <w:p>
            <w:pPr>
              <w:pStyle w:val="8"/>
              <w:autoSpaceDE/>
              <w:autoSpaceDN/>
              <w:adjustRightInd/>
              <w:snapToGrid/>
              <w:spacing w:line="300" w:lineRule="exact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bCs w:val="0"/>
                <w:color w:val="auto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Cs w:val="0"/>
                <w:color w:val="auto"/>
                <w:sz w:val="28"/>
                <w:szCs w:val="28"/>
                <w:highlight w:val="none"/>
              </w:rPr>
              <w:t>特别</w:t>
            </w:r>
          </w:p>
          <w:p>
            <w:pPr>
              <w:pStyle w:val="8"/>
              <w:autoSpaceDE/>
              <w:autoSpaceDN/>
              <w:adjustRightInd/>
              <w:snapToGrid/>
              <w:spacing w:line="300" w:lineRule="exact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bCs w:val="0"/>
                <w:color w:val="auto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Cs w:val="0"/>
                <w:color w:val="auto"/>
                <w:sz w:val="28"/>
                <w:szCs w:val="28"/>
                <w:highlight w:val="none"/>
              </w:rPr>
              <w:t>重大</w:t>
            </w:r>
          </w:p>
          <w:p>
            <w:pPr>
              <w:pStyle w:val="8"/>
              <w:autoSpaceDE/>
              <w:autoSpaceDN/>
              <w:adjustRightInd/>
              <w:snapToGrid/>
              <w:spacing w:line="300" w:lineRule="exact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bCs w:val="0"/>
                <w:color w:val="auto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Cs w:val="0"/>
                <w:color w:val="auto"/>
                <w:sz w:val="28"/>
                <w:szCs w:val="28"/>
                <w:highlight w:val="none"/>
              </w:rPr>
              <w:t>突发</w:t>
            </w:r>
          </w:p>
          <w:p>
            <w:pPr>
              <w:pStyle w:val="8"/>
              <w:autoSpaceDE/>
              <w:autoSpaceDN/>
              <w:adjustRightInd/>
              <w:snapToGrid/>
              <w:spacing w:line="300" w:lineRule="exact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bCs w:val="0"/>
                <w:color w:val="auto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Cs w:val="0"/>
                <w:color w:val="auto"/>
                <w:sz w:val="28"/>
                <w:szCs w:val="28"/>
                <w:highlight w:val="none"/>
              </w:rPr>
              <w:t>事件</w:t>
            </w:r>
          </w:p>
        </w:tc>
        <w:tc>
          <w:tcPr>
            <w:tcW w:w="1194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</w:rPr>
              <w:t>（1）造成30人以上死亡（含失踪），或造成100人以上重伤，或30人以上被困的突发事件；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</w:rPr>
              <w:t>（2）形成群体性事件，一次参与人数达到300人以上，严重影响社会稳定的；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</w:rPr>
              <w:t>（3）旅游者500人以上滞留超过24小时，并对当地生产生活秩序造成严重影响的；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b/>
                <w:bCs w:val="0"/>
                <w:color w:val="auto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</w:rPr>
              <w:t>（4）其他涉及文化旅游（包括相关文物领域）的特别重大突发事件。</w:t>
            </w:r>
          </w:p>
        </w:tc>
        <w:tc>
          <w:tcPr>
            <w:tcW w:w="830" w:type="dxa"/>
            <w:vMerge w:val="continue"/>
            <w:noWrap w:val="0"/>
            <w:vAlign w:val="top"/>
          </w:tcPr>
          <w:p>
            <w:pPr>
              <w:spacing w:line="360" w:lineRule="exact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</w:rPr>
            </w:pPr>
          </w:p>
        </w:tc>
      </w:tr>
    </w:tbl>
    <w:p>
      <w:pPr>
        <w:spacing w:line="600" w:lineRule="exact"/>
        <w:ind w:firstLine="281" w:firstLineChars="100"/>
        <w:jc w:val="left"/>
        <w:textAlignment w:val="baseline"/>
        <w:rPr>
          <w:rFonts w:hint="eastAsia" w:ascii="仿宋_GB2312" w:hAnsi="仿宋_GB2312" w:eastAsia="仿宋_GB2312" w:cs="仿宋_GB2312"/>
          <w:bCs/>
          <w:color w:val="FF0000"/>
          <w:kern w:val="0"/>
          <w:sz w:val="28"/>
          <w:szCs w:val="28"/>
          <w:highlight w:val="none"/>
        </w:rPr>
      </w:pPr>
      <w:r>
        <w:rPr>
          <w:rFonts w:hint="eastAsia" w:ascii="仿宋_GB2312" w:hAnsi="仿宋_GB2312" w:eastAsia="仿宋_GB2312" w:cs="仿宋_GB2312"/>
          <w:b/>
          <w:bCs/>
          <w:snapToGrid/>
          <w:color w:val="auto"/>
          <w:sz w:val="28"/>
          <w:szCs w:val="28"/>
          <w:highlight w:val="none"/>
          <w:lang w:eastAsia="zh-CN"/>
        </w:rPr>
        <w:t>注：</w:t>
      </w:r>
      <w:r>
        <w:rPr>
          <w:rFonts w:hint="eastAsia" w:ascii="仿宋_GB2312" w:hAnsi="仿宋_GB2312" w:eastAsia="仿宋_GB2312" w:cs="仿宋_GB2312"/>
          <w:b/>
          <w:bCs/>
          <w:snapToGrid/>
          <w:color w:val="auto"/>
          <w:sz w:val="28"/>
          <w:szCs w:val="28"/>
          <w:highlight w:val="none"/>
        </w:rPr>
        <w:t>本预案所称的“以上”包括本数（级），所称的“以下”不包括本数（级）。</w:t>
      </w:r>
    </w:p>
    <w:p/>
    <w:sectPr>
      <w:pgSz w:w="16838" w:h="11906" w:orient="landscape"/>
      <w:pgMar w:top="1800" w:right="1440" w:bottom="1800" w:left="144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Arial">
    <w:altName w:val="DejaVu Sans"/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00"/>
    <w:family w:val="auto"/>
    <w:pitch w:val="default"/>
    <w:sig w:usb0="800002BF" w:usb1="38CF7CFA" w:usb2="00000016" w:usb3="00000000" w:csb0="00040001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altName w:val="方正仿宋_GBK"/>
    <w:panose1 w:val="02010609030101010101"/>
    <w:charset w:val="00"/>
    <w:family w:val="modern"/>
    <w:pitch w:val="default"/>
    <w:sig w:usb0="00000000" w:usb1="00000000" w:usb2="00000000" w:usb3="00000000" w:csb0="00040000" w:csb1="00000000"/>
  </w:font>
  <w:font w:name="方正书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方正黑体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4"/>
  <w:bordersDoNotSurroundHeader w:val="true"/>
  <w:bordersDoNotSurroundFooter w:val="true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3BE2CD1"/>
    <w:rsid w:val="43BE2CD1"/>
    <w:rsid w:val="BD9D263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qFormat/>
    <w:uiPriority w:val="0"/>
    <w:pPr>
      <w:keepNext/>
      <w:keepLines/>
      <w:spacing w:before="260" w:after="260" w:line="416" w:lineRule="auto"/>
      <w:outlineLvl w:val="1"/>
    </w:pPr>
    <w:rPr>
      <w:rFonts w:ascii="Arial" w:hAnsi="Arial" w:eastAsia="黑体"/>
      <w:b/>
      <w:snapToGrid/>
      <w:kern w:val="2"/>
      <w:sz w:val="32"/>
      <w:szCs w:val="32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Style w:val="5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7">
    <w:name w:val="page number"/>
    <w:basedOn w:val="6"/>
    <w:qFormat/>
    <w:uiPriority w:val="0"/>
  </w:style>
  <w:style w:type="paragraph" w:customStyle="1" w:styleId="8">
    <w:name w:val="样式 标题 2（一）王海生 + 首行缩进:  2 字符"/>
    <w:basedOn w:val="2"/>
    <w:qFormat/>
    <w:uiPriority w:val="0"/>
    <w:pPr>
      <w:keepNext w:val="0"/>
      <w:keepLines w:val="0"/>
      <w:autoSpaceDE w:val="0"/>
      <w:autoSpaceDN w:val="0"/>
      <w:adjustRightInd w:val="0"/>
      <w:snapToGrid w:val="0"/>
      <w:spacing w:before="0" w:after="0" w:line="480" w:lineRule="atLeast"/>
      <w:ind w:firstLine="560" w:firstLineChars="200"/>
      <w:textAlignment w:val="baseline"/>
    </w:pPr>
    <w:rPr>
      <w:b w:val="0"/>
      <w:kern w:val="0"/>
      <w:sz w:val="30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Office_11.8.2.10229_F1E327BC-269C-435d-A152-05C5408002CA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2024-09-11T01:33:00Z</dcterms:created>
  <dc:creator>user</dc:creator>
  <cp:lastModifiedBy>user</cp:lastModifiedBy>
  <dcterms:modified xsi:type="dcterms:W3CDTF">2024-09-10T17:54:18Z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2052-11.8.2.10229</vt:lpwstr>
  </property>
</Properties>
</file>