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600" w:lineRule="exact"/>
        <w:textAlignment w:val="baseline"/>
        <w:outlineLvl w:val="0"/>
        <w:rPr>
          <w:rStyle w:val="4"/>
          <w:rFonts w:hint="eastAsia" w:ascii="黑体" w:hAnsi="黑体" w:eastAsia="黑体" w:cs="Times New Roman"/>
          <w:color w:val="auto"/>
          <w:sz w:val="28"/>
          <w:szCs w:val="28"/>
          <w:u w:val="none"/>
          <w:lang w:val="en-US" w:eastAsia="zh-CN"/>
        </w:rPr>
      </w:pPr>
      <w:bookmarkStart w:id="0" w:name="_GoBack"/>
      <w:bookmarkEnd w:id="0"/>
      <w:r>
        <w:rPr>
          <w:rStyle w:val="4"/>
          <w:rFonts w:hint="eastAsia" w:ascii="黑体" w:hAnsi="黑体" w:eastAsia="黑体" w:cs="Times New Roman"/>
          <w:color w:val="auto"/>
          <w:sz w:val="28"/>
          <w:szCs w:val="28"/>
          <w:u w:val="none"/>
          <w:lang w:val="en-US" w:eastAsia="zh-CN"/>
        </w:rPr>
        <w:t>附件4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600" w:lineRule="exact"/>
        <w:jc w:val="center"/>
        <w:textAlignment w:val="baseline"/>
        <w:outlineLvl w:val="0"/>
        <w:rPr>
          <w:rStyle w:val="4"/>
          <w:rFonts w:hint="eastAsia" w:ascii="方正小标宋简体" w:hAnsi="方正小标宋简体" w:eastAsia="方正小标宋简体" w:cs="方正小标宋简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山西省煤电油气运突发事件分级标准</w:t>
      </w:r>
    </w:p>
    <w:tbl>
      <w:tblPr>
        <w:tblStyle w:val="2"/>
        <w:tblpPr w:leftFromText="180" w:rightFromText="180" w:vertAnchor="text" w:horzAnchor="page" w:tblpXSpec="center" w:tblpY="199"/>
        <w:tblOverlap w:val="never"/>
        <w:tblW w:w="139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3100"/>
        <w:gridCol w:w="3200"/>
        <w:gridCol w:w="3107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特别重大突发事件（一级）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重大突发事件（一级）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较大突发事件（二级）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一般突发事件（三级）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</w:t>
            </w:r>
          </w:p>
        </w:tc>
        <w:tc>
          <w:tcPr>
            <w:tcW w:w="6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我省煤炭资源丰富，南北均有分布，目前年产量约为10亿吨左右，基本不会发生全省大范围煤炭短缺突发事件，故煤炭领域仅分为较大、一般突发事件。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设区的市煤炭供需失衡较为严重，跨县域的局部地区供需缺口达20%-30%，对经济社会正常运行产生一定影响。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煤炭供需失衡较为严重，局部地区供需缺口达10%-20%，对经济社会正常运行产生一定影响。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</w:t>
            </w:r>
          </w:p>
        </w:tc>
        <w:tc>
          <w:tcPr>
            <w:tcW w:w="126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按照《山西省大面积停电事件应急预案》规定的突发事件分级标准执行。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成品油</w:t>
            </w: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成品油供需失衡特别严重，预计全省缺口超过20%或跨市域的局部地区缺口超过40%，对经济社会正常运行造成严重威胁。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成品油供需失衡严重，预计全省缺口达10%-20%或跨市域的局部地区缺口达30%-40%，对经济社会正常运行产生较大影响。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成品油供需失衡较为严重，预计跨设区县行政区域的局部地区供需缺口达20%-30%，对经济社会正常运行产生一定的影响。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成品油供需紧张，预计当地缺口达10%-20%，对经济社会正常运行产生一定影响。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天然气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（煤层气）</w:t>
            </w:r>
          </w:p>
        </w:tc>
        <w:tc>
          <w:tcPr>
            <w:tcW w:w="126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按照《山西省天然气（煤层气）迎峰度冬保供应急预案》规定的突发事件分级标准执行。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运输</w:t>
            </w:r>
          </w:p>
        </w:tc>
        <w:tc>
          <w:tcPr>
            <w:tcW w:w="126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照《山西省道路交通安全应急预案》《山西省高速公路交通安全应急预案》《山西省城市公共交通运输突发事件应急预案》《山西省城市公共交通运输突发事件应急预案》《山西省城市轨道交通运营突发事件应急预案》《太原铁路局处置山西省所辖路段铁路交通事故应急预案》《山西省处置民用航空器飞行事故应急预案》《沁源县交通运输局道路运输突发事件应急预案》《沁源县公安局交通警察大队交通拥堵应急处置预案》等预案规定的突发事件分级标准执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说明“以上”含本数，“以下”不含本数。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rPr>
          <w:rFonts w:hint="eastAsia"/>
          <w:sz w:val="20"/>
          <w:szCs w:val="22"/>
          <w:lang w:val="en-US" w:eastAsia="zh-CN"/>
        </w:rPr>
        <w:sectPr>
          <w:pgSz w:w="16838" w:h="11906" w:orient="landscape"/>
          <w:pgMar w:top="1531" w:right="1531" w:bottom="1531" w:left="1531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94B62"/>
    <w:rsid w:val="3FF94B62"/>
    <w:rsid w:val="7EE784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2024-09-11T01:44:00Z</dcterms:created>
  <dc:creator>user</dc:creator>
  <cp:lastModifiedBy>user</cp:lastModifiedBy>
  <dcterms:modified xsi:type="dcterms:W3CDTF">2024-09-10T17:51:46Z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